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7513"/>
        <w:rPr>
          <w:rFonts w:eastAsia="Calibri" w:cs="Arial"/>
          <w:szCs w:val="20"/>
        </w:rPr>
      </w:pPr>
      <w:bookmarkStart w:id="0" w:name="_Ref92990254"/>
    </w:p>
    <w:p>
      <w:pPr>
        <w:pStyle w:val="1"/>
        <w:ind w:right="-1"/>
        <w:rPr>
          <w:b/>
          <w:bCs/>
        </w:rPr>
      </w:pPr>
      <w:r>
        <w:rPr>
          <w:b/>
          <w:bCs/>
        </w:rPr>
        <w:t xml:space="preserve">Форма 2.</w:t>
      </w:r>
      <w:r>
        <w:rPr>
          <w:b/>
          <w:bCs/>
        </w:rPr>
        <w:t xml:space="preserve">7 </w:t>
      </w:r>
      <w:r>
        <w:rPr>
          <w:b/>
          <w:bCs/>
        </w:rPr>
        <w:t xml:space="preserve">(</w:t>
      </w:r>
      <w:r>
        <w:rPr>
          <w:b/>
          <w:bCs/>
        </w:rPr>
        <w:t xml:space="preserve">а)</w:t>
      </w:r>
      <w:bookmarkEnd w:id="0"/>
    </w:p>
    <w:p>
      <w:pPr>
        <w:spacing w:after="0" w:line="240" w:lineRule="auto"/>
        <w:ind w:right="-513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Индивидуальный пенсионный договор</w:t>
      </w:r>
      <w:r>
        <w:rPr>
          <w:rFonts w:cs="Arial"/>
          <w:b/>
          <w:szCs w:val="20"/>
        </w:rPr>
        <w:t xml:space="preserve"> №___________</w:t>
      </w:r>
    </w:p>
    <w:p>
      <w:pPr>
        <w:spacing w:after="0" w:line="240" w:lineRule="auto"/>
        <w:ind w:right="-513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по пенсионной программе «</w:t>
      </w:r>
      <w:r>
        <w:rPr>
          <w:rFonts w:cs="Arial"/>
          <w:b/>
          <w:szCs w:val="20"/>
        </w:rPr>
        <w:t xml:space="preserve">Софинансирование</w:t>
      </w:r>
      <w:r>
        <w:rPr>
          <w:rFonts w:cs="Arial"/>
          <w:b/>
          <w:szCs w:val="20"/>
        </w:rPr>
        <w:t xml:space="preserve"> плюс</w:t>
      </w:r>
      <w:r>
        <w:rPr>
          <w:rFonts w:cs="Arial"/>
          <w:b/>
          <w:szCs w:val="20"/>
        </w:rPr>
        <w:t xml:space="preserve">»</w:t>
      </w:r>
    </w:p>
    <w:p>
      <w:pPr>
        <w:spacing w:after="0" w:line="240" w:lineRule="auto"/>
        <w:ind w:right="-513"/>
        <w:jc w:val="center"/>
        <w:rPr>
          <w:rFonts w:cs="Arial"/>
          <w:b/>
          <w:szCs w:val="20"/>
        </w:rPr>
      </w:pPr>
    </w:p>
    <w:p>
      <w:pPr>
        <w:widowControl w:val="off"/>
        <w:spacing w:after="0" w:line="240" w:lineRule="auto"/>
        <w:ind w:right="-1" w:firstLine="709"/>
        <w:jc w:val="both"/>
        <w:rPr>
          <w:rFonts w:eastAsia="Times New Roman"/>
          <w:sz w:val="10"/>
          <w:szCs w:val="10"/>
          <w:lang w:eastAsia="ru-RU"/>
        </w:rPr>
      </w:pPr>
      <w:r>
        <w:rPr>
          <w:rFonts w:eastAsia="Times New Roman"/>
          <w:szCs w:val="20"/>
          <w:lang w:eastAsia="ru-RU"/>
        </w:rPr>
        <w:t xml:space="preserve">Акционерное общество «Негосударственный пенсионный фонд «</w:t>
      </w:r>
      <w:r>
        <w:rPr>
          <w:rFonts w:eastAsia="Times New Roman"/>
          <w:szCs w:val="20"/>
          <w:lang w:eastAsia="ru-RU"/>
        </w:rPr>
        <w:t xml:space="preserve">Ростех</w:t>
      </w:r>
      <w:r>
        <w:rPr>
          <w:rFonts w:eastAsia="Times New Roman"/>
          <w:szCs w:val="20"/>
          <w:lang w:eastAsia="ru-RU"/>
        </w:rPr>
        <w:t xml:space="preserve">» (далее именуемое «Фонд»), лицензия № 169/2 от 02.08.2005, в лице представителя </w:t>
      </w:r>
      <w:r>
        <w:rPr>
          <w:rFonts w:eastAsia="Times New Roman"/>
          <w:szCs w:val="20"/>
          <w:lang w:eastAsia="ru-RU"/>
        </w:rPr>
        <w:t xml:space="preserve">______________________________________________</w:t>
      </w:r>
    </w:p>
    <w:p>
      <w:pPr>
        <w:widowControl w:val="off"/>
        <w:spacing w:after="0" w:line="240" w:lineRule="auto"/>
        <w:ind w:right="-1"/>
        <w:jc w:val="both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Cs w:val="20"/>
          <w:lang w:eastAsia="ru-RU"/>
        </w:rPr>
        <w:t xml:space="preserve">_________________________________________________________________________________________</w:t>
      </w:r>
      <w:r>
        <w:rPr>
          <w:rFonts w:eastAsia="Times New Roman"/>
          <w:szCs w:val="20"/>
          <w:lang w:eastAsia="ru-RU"/>
        </w:rPr>
        <w:t xml:space="preserve">__</w:t>
      </w:r>
      <w:r>
        <w:rPr>
          <w:rFonts w:eastAsia="Times New Roman"/>
          <w:szCs w:val="20"/>
          <w:lang w:eastAsia="ru-RU"/>
        </w:rPr>
        <w:t xml:space="preserve">_,</w:t>
      </w:r>
    </w:p>
    <w:p>
      <w:pPr>
        <w:widowControl w:val="off"/>
        <w:spacing w:after="0" w:line="240" w:lineRule="auto"/>
        <w:ind w:right="-1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действующего на основании доверенности № ___________ от «__</w:t>
      </w:r>
      <w:r>
        <w:rPr>
          <w:rFonts w:eastAsia="Times New Roman"/>
          <w:szCs w:val="20"/>
          <w:lang w:eastAsia="ru-RU"/>
        </w:rPr>
        <w:t xml:space="preserve">_»_</w:t>
      </w:r>
      <w:r>
        <w:rPr>
          <w:rFonts w:eastAsia="Times New Roman"/>
          <w:szCs w:val="20"/>
          <w:lang w:eastAsia="ru-RU"/>
        </w:rPr>
        <w:t xml:space="preserve">____</w:t>
      </w:r>
      <w:r>
        <w:rPr>
          <w:rFonts w:eastAsia="Times New Roman"/>
          <w:szCs w:val="20"/>
          <w:lang w:eastAsia="ru-RU"/>
        </w:rPr>
        <w:t xml:space="preserve">_</w:t>
      </w:r>
      <w:r>
        <w:rPr>
          <w:rFonts w:eastAsia="Times New Roman"/>
          <w:szCs w:val="20"/>
          <w:lang w:eastAsia="ru-RU"/>
        </w:rPr>
        <w:t xml:space="preserve">________ 20____ г., с одной стороны, и</w:t>
      </w:r>
    </w:p>
    <w:p>
      <w:pPr>
        <w:widowControl w:val="off"/>
        <w:spacing w:after="0" w:line="240" w:lineRule="auto"/>
        <w:ind w:right="-1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____________________________________________________________________________________________________</w:t>
      </w:r>
      <w:r>
        <w:rPr>
          <w:rFonts w:eastAsia="Times New Roman"/>
          <w:sz w:val="18"/>
          <w:szCs w:val="18"/>
          <w:lang w:eastAsia="ru-RU"/>
        </w:rPr>
        <w:t xml:space="preserve">__</w:t>
      </w:r>
      <w:r>
        <w:rPr>
          <w:rFonts w:eastAsia="Times New Roman"/>
          <w:sz w:val="18"/>
          <w:szCs w:val="18"/>
          <w:lang w:eastAsia="ru-RU"/>
        </w:rPr>
        <w:t xml:space="preserve">;</w:t>
      </w:r>
    </w:p>
    <w:p>
      <w:pPr>
        <w:widowControl w:val="off"/>
        <w:spacing w:after="0" w:line="240" w:lineRule="auto"/>
        <w:ind w:right="-1"/>
        <w:jc w:val="center"/>
        <w:rPr>
          <w:rFonts w:eastAsia="Times New Roman"/>
          <w:sz w:val="12"/>
          <w:szCs w:val="12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 xml:space="preserve">фамилия, имя, отчество, дата рождения, </w:t>
      </w:r>
    </w:p>
    <w:p>
      <w:pPr>
        <w:widowControl w:val="off"/>
        <w:spacing w:after="0" w:line="240" w:lineRule="auto"/>
        <w:ind w:right="-1"/>
        <w:jc w:val="center"/>
        <w:rPr>
          <w:rFonts w:eastAsia="Times New Roman"/>
          <w:szCs w:val="20"/>
          <w:lang w:eastAsia="ru-RU"/>
        </w:rPr>
      </w:pPr>
    </w:p>
    <w:p>
      <w:pPr>
        <w:widowControl w:val="off"/>
        <w:spacing w:after="0" w:line="240" w:lineRule="auto"/>
        <w:ind w:right="-1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 w:val="17"/>
          <w:szCs w:val="17"/>
          <w:lang w:eastAsia="ru-RU"/>
        </w:rPr>
        <w:t xml:space="preserve">_____________________________________________________________________________________________________________</w:t>
      </w:r>
    </w:p>
    <w:p>
      <w:pPr>
        <w:widowControl w:val="off"/>
        <w:spacing w:after="0" w:line="240" w:lineRule="auto"/>
        <w:ind w:right="-1"/>
        <w:jc w:val="center"/>
        <w:rPr>
          <w:rFonts w:eastAsia="Times New Roman"/>
          <w:sz w:val="12"/>
          <w:szCs w:val="12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 xml:space="preserve">наименование и номер документа, удостоверяющего личность, дата его выдачи</w:t>
      </w:r>
    </w:p>
    <w:p>
      <w:pPr>
        <w:widowControl w:val="off"/>
        <w:spacing w:after="0" w:line="240" w:lineRule="auto"/>
        <w:ind w:right="-1"/>
        <w:jc w:val="center"/>
        <w:rPr>
          <w:rFonts w:eastAsia="Times New Roman"/>
          <w:szCs w:val="20"/>
          <w:lang w:eastAsia="ru-RU"/>
        </w:rPr>
      </w:pPr>
    </w:p>
    <w:p>
      <w:pPr>
        <w:widowControl w:val="off"/>
        <w:spacing w:after="0" w:line="240" w:lineRule="auto"/>
        <w:ind w:right="-1"/>
        <w:jc w:val="both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 w:val="17"/>
          <w:szCs w:val="17"/>
          <w:lang w:eastAsia="ru-RU"/>
        </w:rPr>
        <w:t xml:space="preserve">_____________________________________________________________________________________________________________</w:t>
      </w:r>
    </w:p>
    <w:p>
      <w:pPr>
        <w:widowControl w:val="off"/>
        <w:spacing w:after="0" w:line="240" w:lineRule="auto"/>
        <w:ind w:right="-1"/>
        <w:jc w:val="center"/>
        <w:rPr>
          <w:rFonts w:eastAsia="Times New Roman"/>
          <w:sz w:val="12"/>
          <w:szCs w:val="12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 xml:space="preserve">наименование органа, выдавшего документ,</w:t>
      </w:r>
      <w:r>
        <w:rPr>
          <w:rFonts w:eastAsia="Times New Roman"/>
          <w:sz w:val="12"/>
          <w:szCs w:val="12"/>
          <w:lang w:eastAsia="ru-RU"/>
        </w:rPr>
        <w:t xml:space="preserve"> СНИЛС,</w:t>
      </w:r>
      <w:r>
        <w:rPr>
          <w:rFonts w:eastAsia="Times New Roman"/>
          <w:sz w:val="12"/>
          <w:szCs w:val="12"/>
          <w:lang w:eastAsia="ru-RU"/>
        </w:rPr>
        <w:t xml:space="preserve"> ИНН (при наличии)</w:t>
      </w:r>
    </w:p>
    <w:p>
      <w:pPr>
        <w:widowControl w:val="off"/>
        <w:spacing w:after="0" w:line="240" w:lineRule="auto"/>
        <w:ind w:right="-1"/>
        <w:jc w:val="center"/>
        <w:rPr>
          <w:rFonts w:eastAsia="Times New Roman"/>
          <w:szCs w:val="20"/>
          <w:lang w:eastAsia="ru-RU"/>
        </w:rPr>
      </w:pPr>
    </w:p>
    <w:p>
      <w:pPr>
        <w:widowControl w:val="off"/>
        <w:spacing w:after="0" w:line="240" w:lineRule="auto"/>
        <w:ind w:right="-1"/>
        <w:jc w:val="both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Cs w:val="20"/>
          <w:lang w:eastAsia="ru-RU"/>
        </w:rPr>
        <w:t xml:space="preserve">зарегистрирован </w:t>
      </w:r>
      <w:r>
        <w:rPr>
          <w:rFonts w:eastAsia="Times New Roman"/>
          <w:sz w:val="17"/>
          <w:szCs w:val="17"/>
          <w:lang w:eastAsia="ru-RU"/>
        </w:rPr>
        <w:t xml:space="preserve">_______________________________________________________________________________________</w:t>
      </w:r>
      <w:r>
        <w:rPr>
          <w:rFonts w:eastAsia="Times New Roman"/>
          <w:sz w:val="17"/>
          <w:szCs w:val="17"/>
          <w:lang w:eastAsia="ru-RU"/>
        </w:rPr>
        <w:t xml:space="preserve">_____</w:t>
      </w:r>
    </w:p>
    <w:p>
      <w:pPr>
        <w:widowControl w:val="off"/>
        <w:spacing w:after="0" w:line="240" w:lineRule="auto"/>
        <w:ind w:left="2124" w:right="-1" w:firstLine="708"/>
        <w:jc w:val="both"/>
        <w:rPr>
          <w:rFonts w:eastAsia="Times New Roman"/>
          <w:sz w:val="12"/>
          <w:szCs w:val="12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 xml:space="preserve">почтовый индекс, населенный пункт, улица, номер дома, номер квартиры, контактный телефон (домашний, мобильный), </w:t>
      </w:r>
      <w:r>
        <w:rPr>
          <w:rFonts w:eastAsia="Times New Roman"/>
          <w:sz w:val="12"/>
          <w:szCs w:val="12"/>
          <w:lang w:val="en-US" w:eastAsia="ru-RU"/>
        </w:rPr>
        <w:t xml:space="preserve">e</w:t>
      </w:r>
      <w:r>
        <w:rPr>
          <w:rFonts w:eastAsia="Times New Roman"/>
          <w:sz w:val="12"/>
          <w:szCs w:val="12"/>
          <w:lang w:eastAsia="ru-RU"/>
        </w:rPr>
        <w:t xml:space="preserve">-</w:t>
      </w:r>
      <w:r>
        <w:rPr>
          <w:rFonts w:eastAsia="Times New Roman"/>
          <w:sz w:val="12"/>
          <w:szCs w:val="12"/>
          <w:lang w:val="en-US" w:eastAsia="ru-RU"/>
        </w:rPr>
        <w:t xml:space="preserve">mail</w:t>
      </w:r>
    </w:p>
    <w:p>
      <w:pPr>
        <w:widowControl w:val="off"/>
        <w:spacing w:after="0" w:line="240" w:lineRule="auto"/>
        <w:ind w:right="-1"/>
        <w:jc w:val="center"/>
        <w:rPr>
          <w:rFonts w:eastAsia="Times New Roman"/>
          <w:szCs w:val="20"/>
          <w:lang w:eastAsia="ru-RU"/>
        </w:rPr>
      </w:pPr>
    </w:p>
    <w:p>
      <w:pPr>
        <w:widowControl w:val="off"/>
        <w:spacing w:after="0" w:line="240" w:lineRule="auto"/>
        <w:ind w:right="-1"/>
        <w:jc w:val="both"/>
        <w:rPr>
          <w:rFonts w:eastAsia="Times New Roman"/>
          <w:sz w:val="10"/>
          <w:szCs w:val="10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 xml:space="preserve">___________________________________________________________________________________________________________________________________________________________</w:t>
      </w:r>
    </w:p>
    <w:p>
      <w:pPr>
        <w:widowControl w:val="off"/>
        <w:spacing w:after="0" w:line="240" w:lineRule="auto"/>
        <w:ind w:right="-1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(далее именуемый «участник»), с другой стороны, заключили настоящий договор негосударственного пенсионного обеспечения (далее – пенсионный договор) в соответствии с Пенсионными правилами Фонда о нижеследующем:</w:t>
      </w:r>
    </w:p>
    <w:p>
      <w:pPr>
        <w:widowControl w:val="off"/>
        <w:numPr>
          <w:numId w:val="9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Предметом пенсионного договора является негосударственное пенсионное обеспечение участника за счет пенсионных взносов, внесенных участником в свою пользу.</w:t>
      </w:r>
    </w:p>
    <w:p>
      <w:pPr>
        <w:widowControl w:val="off"/>
        <w:numPr>
          <w:numId w:val="9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Пенсионный договор состоит из настоящего бланка и общих условий индивидуального пенсионного договора</w:t>
      </w:r>
      <w:r>
        <w:rPr>
          <w:rFonts w:eastAsia="Times New Roman"/>
          <w:szCs w:val="20"/>
          <w:lang w:eastAsia="ru-RU"/>
        </w:rPr>
        <w:t xml:space="preserve"> по </w:t>
      </w:r>
      <w:r>
        <w:rPr>
          <w:rFonts w:eastAsia="Times New Roman"/>
          <w:szCs w:val="20"/>
          <w:lang w:eastAsia="ru-RU"/>
        </w:rPr>
        <w:t xml:space="preserve">пенсионной </w:t>
      </w:r>
      <w:r>
        <w:rPr>
          <w:rFonts w:eastAsia="Times New Roman"/>
          <w:szCs w:val="20"/>
          <w:lang w:eastAsia="ru-RU"/>
        </w:rPr>
        <w:t xml:space="preserve">программе «</w:t>
      </w:r>
      <w:r>
        <w:rPr>
          <w:rFonts w:eastAsia="Times New Roman"/>
          <w:szCs w:val="20"/>
          <w:lang w:eastAsia="ru-RU"/>
        </w:rPr>
        <w:t xml:space="preserve">Софинансирование</w:t>
      </w:r>
      <w:r>
        <w:rPr>
          <w:rFonts w:eastAsia="Times New Roman"/>
          <w:szCs w:val="20"/>
          <w:lang w:eastAsia="ru-RU"/>
        </w:rPr>
        <w:t xml:space="preserve"> плюс»</w:t>
      </w:r>
      <w:r>
        <w:rPr>
          <w:rFonts w:eastAsia="Times New Roman"/>
          <w:szCs w:val="20"/>
          <w:lang w:eastAsia="ru-RU"/>
        </w:rPr>
        <w:t xml:space="preserve">, размещенных на сайте Фонда в информационно-телекоммуникационной сети Интернет по адресу: </w:t>
      </w:r>
      <w:hyperlink r:id="rId11" w:history="1">
        <w:r>
          <w:rPr>
            <w:rFonts w:eastAsia="Times New Roman"/>
            <w:szCs w:val="20"/>
            <w:lang w:eastAsia="ru-RU"/>
          </w:rPr>
          <w:t xml:space="preserve">www.rostecnpf.ru</w:t>
        </w:r>
      </w:hyperlink>
      <w:r>
        <w:rPr>
          <w:rFonts w:eastAsia="Times New Roman"/>
          <w:szCs w:val="20"/>
          <w:lang w:eastAsia="ru-RU"/>
        </w:rPr>
        <w:t xml:space="preserve">.</w:t>
      </w:r>
    </w:p>
    <w:p>
      <w:pPr>
        <w:widowControl w:val="off"/>
        <w:numPr>
          <w:numId w:val="9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Пенсионные взносы вносятся участником:</w:t>
      </w:r>
    </w:p>
    <w:p>
      <w:pPr>
        <w:widowControl w:val="off"/>
        <w:spacing w:after="0" w:line="240" w:lineRule="auto"/>
        <w:ind w:right="-1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а) 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в размере _________________</w:t>
      </w:r>
      <w:r>
        <w:rPr>
          <w:rFonts w:eastAsia="Times New Roman"/>
          <w:szCs w:val="20"/>
          <w:lang w:eastAsia="ru-RU"/>
        </w:rPr>
        <w:t xml:space="preserve">% от начисленной заработной платы</w:t>
      </w:r>
      <w:r>
        <w:rPr>
          <w:rFonts w:eastAsia="Times New Roman"/>
          <w:szCs w:val="20"/>
          <w:lang w:eastAsia="ru-RU"/>
        </w:rPr>
        <w:t xml:space="preserve">;</w:t>
      </w:r>
    </w:p>
    <w:p>
      <w:pPr>
        <w:widowControl w:val="off"/>
        <w:spacing w:after="0" w:line="240" w:lineRule="auto"/>
        <w:ind w:right="-1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б) </w:t>
      </w:r>
      <w:r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начиная с ____________________ ________ г. </w:t>
      </w:r>
    </w:p>
    <w:p>
      <w:pPr>
        <w:widowControl w:val="off"/>
        <w:numPr>
          <w:numId w:val="9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Право на получение негосударственной пенсии по настоящему пенсионному договору участник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приобрета</w:t>
      </w:r>
      <w:r>
        <w:rPr>
          <w:rFonts w:eastAsia="Times New Roman"/>
          <w:szCs w:val="20"/>
          <w:lang w:eastAsia="ru-RU"/>
        </w:rPr>
        <w:t xml:space="preserve">е</w:t>
      </w:r>
      <w:r>
        <w:rPr>
          <w:rFonts w:eastAsia="Times New Roman"/>
          <w:szCs w:val="20"/>
          <w:lang w:eastAsia="ru-RU"/>
        </w:rPr>
        <w:t xml:space="preserve">т </w:t>
      </w:r>
      <w:r>
        <w:rPr>
          <w:rFonts w:eastAsia="Times New Roman"/>
          <w:szCs w:val="20"/>
          <w:lang w:eastAsia="ru-RU"/>
        </w:rPr>
        <w:t xml:space="preserve">при </w:t>
      </w:r>
      <w:r>
        <w:rPr>
          <w:rFonts w:eastAsia="Times New Roman"/>
          <w:szCs w:val="20"/>
          <w:lang w:eastAsia="ru-RU"/>
        </w:rPr>
        <w:t xml:space="preserve">дости</w:t>
      </w:r>
      <w:r>
        <w:rPr>
          <w:rFonts w:eastAsia="Times New Roman"/>
          <w:szCs w:val="20"/>
          <w:lang w:eastAsia="ru-RU"/>
        </w:rPr>
        <w:t xml:space="preserve">жении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участником </w:t>
      </w:r>
      <w:r>
        <w:rPr>
          <w:rFonts w:eastAsia="Times New Roman"/>
          <w:szCs w:val="20"/>
          <w:lang w:eastAsia="ru-RU"/>
        </w:rPr>
        <w:t xml:space="preserve">возраста, предоставляющего право на страховую пенсию по старости, установленного Федеральным законом от 28.12.2013 № 400-ФЗ «О страховых пенсиях» (с учетом переходных положений)</w:t>
      </w:r>
      <w:r>
        <w:rPr>
          <w:rFonts w:eastAsia="Times New Roman"/>
          <w:szCs w:val="20"/>
          <w:lang w:eastAsia="ru-RU"/>
        </w:rPr>
        <w:t xml:space="preserve">.</w:t>
      </w:r>
    </w:p>
    <w:p>
      <w:pPr>
        <w:widowControl w:val="off"/>
        <w:numPr>
          <w:numId w:val="9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Негосударственная пенсия назначается участнику на основании его письменного заявления о назначении негосударственной пенсии с приложенными документами, предусмотренными пенсионным договором. </w:t>
      </w:r>
      <w:r>
        <w:rPr>
          <w:rFonts w:eastAsia="Times New Roman"/>
          <w:szCs w:val="20"/>
          <w:lang w:eastAsia="ru-RU"/>
        </w:rPr>
        <w:t xml:space="preserve">Заявление о назначении негосударственной пенсии подается участником не ранее даты приобретения участником пенсионного основания.</w:t>
      </w:r>
    </w:p>
    <w:p>
      <w:pPr>
        <w:widowControl w:val="off"/>
        <w:numPr>
          <w:numId w:val="9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Участник вправе расторгнуть пенсионный договор в течение четырнадцати календарных дней после дня его заключения (период охлаждения) путем подачи </w:t>
      </w:r>
      <w:r>
        <w:rPr>
          <w:rFonts w:eastAsia="Times New Roman"/>
          <w:szCs w:val="20"/>
          <w:lang w:eastAsia="ru-RU"/>
        </w:rPr>
        <w:t xml:space="preserve">в Фонд </w:t>
      </w:r>
      <w:r>
        <w:rPr>
          <w:rFonts w:eastAsia="Times New Roman"/>
          <w:szCs w:val="20"/>
          <w:lang w:eastAsia="ru-RU"/>
        </w:rPr>
        <w:t xml:space="preserve">заявления, а Фонд обязан осуществить </w:t>
      </w:r>
      <w:bookmarkStart w:id="1" w:name="_GoBack"/>
      <w:bookmarkEnd w:id="1"/>
      <w:r>
        <w:rPr>
          <w:rFonts w:eastAsia="Times New Roman"/>
          <w:szCs w:val="20"/>
          <w:lang w:eastAsia="ru-RU"/>
        </w:rPr>
        <w:t xml:space="preserve">возврат уплаченных пенсионных взносов</w:t>
      </w:r>
      <w:r>
        <w:rPr>
          <w:rFonts w:eastAsia="Times New Roman"/>
          <w:szCs w:val="20"/>
          <w:lang w:eastAsia="ru-RU"/>
        </w:rPr>
        <w:t xml:space="preserve">.</w:t>
      </w:r>
    </w:p>
    <w:p>
      <w:pPr>
        <w:widowControl w:val="off"/>
        <w:numPr>
          <w:numId w:val="9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Пенсионный договор составлен в 2-х экземплярах, имеющих равную юридическую силу, - по одному экземпляру каждой </w:t>
      </w:r>
      <w:r>
        <w:rPr>
          <w:rFonts w:eastAsia="Times New Roman"/>
          <w:szCs w:val="20"/>
          <w:lang w:eastAsia="ru-RU"/>
        </w:rPr>
        <w:t xml:space="preserve">с</w:t>
      </w:r>
      <w:r>
        <w:rPr>
          <w:rFonts w:eastAsia="Times New Roman"/>
          <w:szCs w:val="20"/>
          <w:lang w:eastAsia="ru-RU"/>
        </w:rPr>
        <w:t xml:space="preserve">тороне, вступает в силу с даты его подписания </w:t>
      </w:r>
      <w:r>
        <w:rPr>
          <w:rFonts w:eastAsia="Times New Roman"/>
          <w:szCs w:val="20"/>
          <w:lang w:eastAsia="ru-RU"/>
        </w:rPr>
        <w:t xml:space="preserve">с</w:t>
      </w:r>
      <w:r>
        <w:rPr>
          <w:rFonts w:eastAsia="Times New Roman"/>
          <w:szCs w:val="20"/>
          <w:lang w:eastAsia="ru-RU"/>
        </w:rPr>
        <w:t xml:space="preserve">торонами и действует до полного исполнения </w:t>
      </w:r>
      <w:r>
        <w:rPr>
          <w:rFonts w:eastAsia="Times New Roman"/>
          <w:szCs w:val="20"/>
          <w:lang w:eastAsia="ru-RU"/>
        </w:rPr>
        <w:t xml:space="preserve">с</w:t>
      </w:r>
      <w:r>
        <w:rPr>
          <w:rFonts w:eastAsia="Times New Roman"/>
          <w:szCs w:val="20"/>
          <w:lang w:eastAsia="ru-RU"/>
        </w:rPr>
        <w:t xml:space="preserve">торонами своих обязательств.</w:t>
      </w:r>
    </w:p>
    <w:p>
      <w:pPr>
        <w:widowControl w:val="off"/>
        <w:tabs>
          <w:tab w:val="left" w:pos="1134"/>
        </w:tabs>
        <w:spacing w:after="0" w:line="240" w:lineRule="auto"/>
        <w:ind w:left="709"/>
        <w:jc w:val="both"/>
        <w:rPr>
          <w:rFonts w:eastAsia="Times New Roman"/>
          <w:szCs w:val="20"/>
          <w:lang w:eastAsia="ru-RU"/>
        </w:rPr>
      </w:pPr>
    </w:p>
    <w:tbl>
      <w:tblPr>
        <w:tblW w:w="10671" w:type="dxa"/>
        <w:jc w:val="center"/>
        <w:tblLook w:val="01E0" w:firstRow="1" w:lastRow="1" w:firstColumn="1" w:lastColumn="1" w:noHBand="0" w:noVBand="0"/>
      </w:tblPr>
      <w:tblGrid>
        <w:gridCol w:w="5233"/>
        <w:gridCol w:w="5438"/>
      </w:tblGrid>
      <w:tr>
        <w:trPr>
          <w:jc w:val="center"/>
          <w:trHeight w:val="865"/>
        </w:trPr>
        <w:tc>
          <w:tcPr>
            <w:tcW w:w="5233" w:type="dxa"/>
          </w:tcPr>
          <w:p>
            <w:pPr>
              <w:widowControl w:val="off"/>
              <w:spacing w:after="0" w:line="240" w:lineRule="auto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Представитель АО «НПФ «</w:t>
            </w:r>
            <w:r>
              <w:rPr>
                <w:rFonts w:eastAsia="Times New Roman"/>
                <w:b/>
                <w:szCs w:val="20"/>
                <w:lang w:eastAsia="ru-RU"/>
              </w:rPr>
              <w:t xml:space="preserve">Ростех</w:t>
            </w:r>
            <w:r>
              <w:rPr>
                <w:rFonts w:eastAsia="Times New Roman"/>
                <w:b/>
                <w:szCs w:val="20"/>
                <w:lang w:eastAsia="ru-RU"/>
              </w:rPr>
              <w:t xml:space="preserve">»</w:t>
            </w:r>
          </w:p>
          <w:p>
            <w:pPr>
              <w:widowControl w:val="off"/>
              <w:spacing w:after="0" w:line="240" w:lineRule="auto"/>
              <w:jc w:val="both"/>
              <w:rPr>
                <w:rFonts w:eastAsia="Times New Roman"/>
                <w:b/>
                <w:szCs w:val="20"/>
                <w:lang w:eastAsia="ru-RU"/>
              </w:rPr>
            </w:pPr>
          </w:p>
          <w:p>
            <w:pPr>
              <w:widowControl w:val="off"/>
              <w:spacing w:after="0" w:line="240" w:lineRule="auto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__________________________________________</w:t>
            </w:r>
          </w:p>
          <w:p>
            <w:pPr>
              <w:widowControl w:val="off"/>
              <w:spacing w:after="0" w:line="24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438" w:type="dxa"/>
          </w:tcPr>
          <w:p>
            <w:pPr>
              <w:widowControl w:val="off"/>
              <w:spacing w:after="0" w:line="240" w:lineRule="auto"/>
              <w:ind w:left="602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Участник </w:t>
            </w:r>
          </w:p>
          <w:p>
            <w:pPr>
              <w:widowControl w:val="off"/>
              <w:spacing w:after="0" w:line="240" w:lineRule="auto"/>
              <w:ind w:left="602"/>
              <w:jc w:val="both"/>
              <w:rPr>
                <w:rFonts w:eastAsia="Times New Roman"/>
                <w:b/>
                <w:szCs w:val="20"/>
                <w:lang w:eastAsia="ru-RU"/>
              </w:rPr>
            </w:pPr>
          </w:p>
          <w:p>
            <w:pPr>
              <w:widowControl w:val="off"/>
              <w:spacing w:after="0" w:line="240" w:lineRule="auto"/>
              <w:ind w:left="602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________________________________________</w:t>
            </w:r>
          </w:p>
        </w:tc>
      </w:tr>
    </w:tbl>
    <w:p>
      <w:pPr>
        <w:widowControl w:val="off"/>
        <w:spacing w:after="0" w:line="240" w:lineRule="auto"/>
        <w:jc w:val="right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«__</w:t>
      </w:r>
      <w:r>
        <w:rPr>
          <w:rFonts w:eastAsia="Times New Roman"/>
          <w:szCs w:val="20"/>
          <w:lang w:eastAsia="ru-RU"/>
        </w:rPr>
        <w:t xml:space="preserve">_»_</w:t>
      </w:r>
      <w:r>
        <w:rPr>
          <w:rFonts w:eastAsia="Times New Roman"/>
          <w:szCs w:val="20"/>
          <w:lang w:eastAsia="ru-RU"/>
        </w:rPr>
        <w:t xml:space="preserve">____________ 20____ г</w:t>
      </w:r>
    </w:p>
    <w:p>
      <w:pPr>
        <w:spacing w:after="0" w:line="240" w:lineRule="auto"/>
        <w:ind w:right="-1" w:firstLine="426"/>
        <w:rPr>
          <w:rFonts w:eastAsia="Times New Roman"/>
          <w:szCs w:val="20"/>
          <w:lang w:eastAsia="ru-RU"/>
        </w:rPr>
      </w:pPr>
    </w:p>
    <w:p>
      <w:pPr>
        <w:spacing w:after="0" w:line="240" w:lineRule="auto"/>
        <w:ind w:right="-1"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Участник ознакомлен с Пенсионными правилами Фонда, Ключевым информационным документом по негосударственному пенсионному обеспечению и с общими условиями договора негосударственного пенсионного обеспечения по </w:t>
      </w:r>
      <w:r>
        <w:rPr>
          <w:rFonts w:cs="Arial"/>
          <w:szCs w:val="20"/>
        </w:rPr>
        <w:t xml:space="preserve">пенсионной </w:t>
      </w:r>
      <w:r>
        <w:rPr>
          <w:rFonts w:cs="Arial"/>
          <w:szCs w:val="20"/>
        </w:rPr>
        <w:t xml:space="preserve">программе «</w:t>
      </w:r>
      <w:r>
        <w:rPr>
          <w:rFonts w:cs="Arial"/>
          <w:szCs w:val="20"/>
        </w:rPr>
        <w:t xml:space="preserve">Софинансирование</w:t>
      </w:r>
      <w:r>
        <w:rPr>
          <w:rFonts w:cs="Arial"/>
          <w:szCs w:val="20"/>
        </w:rPr>
        <w:t xml:space="preserve"> плюс».</w:t>
      </w:r>
    </w:p>
    <w:p>
      <w:pPr>
        <w:spacing w:after="0" w:line="240" w:lineRule="auto"/>
        <w:ind w:right="-1"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Участник уведомлен о необходимости обновления с периодичностью не реже одного раза в три года информации о паспортных данных, месте жительства, и иных сведениях, влияющих на исполнение Фондом своих обязательств по настоящему договору, а также о своевременном информировании при изменении вышеуказанной информации.</w:t>
      </w:r>
    </w:p>
    <w:p>
      <w:pPr>
        <w:spacing w:after="0" w:line="240" w:lineRule="auto"/>
        <w:ind w:left="7788" w:hanging="558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</w:t>
      </w:r>
    </w:p>
    <w:p>
      <w:pPr>
        <w:spacing w:after="0" w:line="240" w:lineRule="auto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подпись участника</w:t>
      </w:r>
    </w:p>
    <w:p>
      <w:pPr>
        <w:widowControl w:val="off"/>
        <w:spacing w:after="0" w:line="240" w:lineRule="auto"/>
        <w:ind w:right="-513" w:firstLine="709"/>
        <w:jc w:val="both"/>
        <w:rPr>
          <w:rFonts w:eastAsia="Times New Roman" w:cs="Arial"/>
          <w:sz w:val="12"/>
          <w:szCs w:val="12"/>
          <w:lang w:eastAsia="ru-RU"/>
        </w:rPr>
      </w:pPr>
      <w:r>
        <w:rPr>
          <w:rFonts w:eastAsia="Times New Roman" w:cs="Arial"/>
          <w:sz w:val="12"/>
          <w:szCs w:val="12"/>
          <w:lang w:eastAsia="ru-RU"/>
        </w:rPr>
        <w:t xml:space="preserve">Служебная информация (не является условиями договора)</w:t>
      </w:r>
    </w:p>
    <w:p>
      <w:pPr>
        <w:widowControl w:val="off"/>
        <w:spacing w:after="0" w:line="240" w:lineRule="auto"/>
        <w:ind w:right="-513"/>
        <w:jc w:val="both"/>
        <w:rPr>
          <w:rFonts w:eastAsia="Times New Roman" w:cs="Arial"/>
          <w:sz w:val="12"/>
          <w:szCs w:val="12"/>
          <w:lang w:eastAsia="ru-RU"/>
        </w:rPr>
      </w:pPr>
    </w:p>
    <w:p>
      <w:pPr>
        <w:widowControl w:val="off"/>
        <w:spacing w:after="0" w:line="240" w:lineRule="auto"/>
        <w:ind w:right="-513"/>
        <w:jc w:val="both"/>
        <w:rPr>
          <w:rFonts w:eastAsia="Times New Roman" w:cs="Arial"/>
          <w:sz w:val="12"/>
          <w:szCs w:val="12"/>
          <w:lang w:eastAsia="ru-RU"/>
        </w:rPr>
      </w:pPr>
      <w:r>
        <w:rPr>
          <w:rFonts w:eastAsia="Times New Roman" w:cs="Arial"/>
          <w:sz w:val="12"/>
          <w:szCs w:val="12"/>
          <w:lang w:eastAsia="ru-RU"/>
        </w:rPr>
        <w:t xml:space="preserve">Место работы участника</w:t>
      </w:r>
    </w:p>
    <w:p>
      <w:pPr>
        <w:widowControl w:val="off"/>
        <w:spacing w:after="0" w:line="240" w:lineRule="auto"/>
        <w:ind w:right="-513"/>
        <w:jc w:val="both"/>
        <w:rPr>
          <w:rFonts w:eastAsia="Times New Roman" w:cs="Arial"/>
          <w:sz w:val="12"/>
          <w:szCs w:val="12"/>
          <w:lang w:eastAsia="ru-RU"/>
        </w:rPr>
      </w:pPr>
      <w:r>
        <w:rPr>
          <w:rFonts w:eastAsia="Times New Roman" w:cs="Arial"/>
          <w:sz w:val="12"/>
          <w:szCs w:val="12"/>
          <w:lang w:eastAsia="ru-RU"/>
        </w:rPr>
        <w:t xml:space="preserve">на дату заключения договора _______________________________________________________________________________</w:t>
      </w:r>
    </w:p>
    <w:p>
      <w:pPr>
        <w:spacing w:after="0" w:line="240" w:lineRule="auto"/>
        <w:ind w:right="-513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 xml:space="preserve">_</w:t>
      </w:r>
      <w:r>
        <w:rPr>
          <w:rFonts w:cs="Arial"/>
          <w:sz w:val="17"/>
          <w:szCs w:val="17"/>
        </w:rPr>
        <w:t xml:space="preserve">_______________________________________________________________________________________________________</w:t>
      </w:r>
      <w:r>
        <w:rPr>
          <w:rFonts w:cs="Arial"/>
          <w:sz w:val="17"/>
          <w:szCs w:val="17"/>
        </w:rPr>
        <w:t xml:space="preserve">____</w:t>
      </w:r>
      <w:r>
        <w:rPr>
          <w:rFonts w:cs="Arial"/>
          <w:sz w:val="17"/>
          <w:szCs w:val="17"/>
        </w:rPr>
        <w:t xml:space="preserve">_</w:t>
      </w:r>
    </w:p>
    <w:p>
      <w:pPr>
        <w:spacing w:after="0"/>
        <w:ind w:right="-513"/>
        <w:jc w:val="center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Акционерное общество «Негосударственный пенсионный фонд «</w:t>
      </w:r>
      <w:r>
        <w:rPr>
          <w:rFonts w:cs="Arial"/>
          <w:sz w:val="12"/>
          <w:szCs w:val="12"/>
        </w:rPr>
        <w:t xml:space="preserve">Ростех</w:t>
      </w:r>
      <w:r>
        <w:rPr>
          <w:rFonts w:cs="Arial"/>
          <w:sz w:val="12"/>
          <w:szCs w:val="12"/>
        </w:rPr>
        <w:t xml:space="preserve">»</w:t>
      </w:r>
    </w:p>
    <w:p>
      <w:pPr>
        <w:spacing w:after="0"/>
        <w:ind w:right="-513"/>
        <w:jc w:val="center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лицензия № 169/2 от 02.08.2005</w:t>
      </w:r>
    </w:p>
    <w:p>
      <w:pPr>
        <w:pStyle w:val="a8"/>
        <w:spacing w:line="276" w:lineRule="auto"/>
        <w:jc w:val="center"/>
        <w:rPr>
          <w:rFonts w:ascii="Arial" w:hAnsi="Arial"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Место нахождения: </w:t>
      </w:r>
      <w:r>
        <w:rPr>
          <w:rFonts w:ascii="Arial" w:hAnsi="Arial" w:cs="Arial"/>
          <w:sz w:val="12"/>
          <w:szCs w:val="12"/>
        </w:rPr>
        <w:t xml:space="preserve">125424, г. Москва, </w:t>
      </w:r>
      <w:r>
        <w:rPr>
          <w:rFonts w:ascii="Arial" w:hAnsi="Arial" w:cs="Arial"/>
          <w:sz w:val="12"/>
          <w:szCs w:val="12"/>
        </w:rPr>
        <w:t xml:space="preserve">вн.тер.г</w:t>
      </w:r>
      <w:r>
        <w:rPr>
          <w:rFonts w:ascii="Arial" w:hAnsi="Arial" w:cs="Arial"/>
          <w:sz w:val="12"/>
          <w:szCs w:val="12"/>
        </w:rPr>
        <w:t xml:space="preserve">. муниципальный округ Покровское-</w:t>
      </w:r>
      <w:r>
        <w:rPr>
          <w:rFonts w:ascii="Arial" w:hAnsi="Arial" w:cs="Arial"/>
          <w:sz w:val="12"/>
          <w:szCs w:val="12"/>
        </w:rPr>
        <w:t xml:space="preserve">Стрешнево</w:t>
      </w:r>
      <w:r>
        <w:rPr>
          <w:rFonts w:ascii="Arial" w:hAnsi="Arial" w:cs="Arial"/>
          <w:sz w:val="12"/>
          <w:szCs w:val="12"/>
        </w:rPr>
        <w:t xml:space="preserve">, ш. Волоколамское, д. 75А</w:t>
      </w:r>
    </w:p>
    <w:p>
      <w:pPr>
        <w:spacing w:after="0"/>
        <w:ind w:right="-513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                                                                                                                   </w:t>
      </w:r>
      <w:r>
        <w:rPr>
          <w:rFonts w:cs="Arial"/>
          <w:sz w:val="12"/>
          <w:szCs w:val="12"/>
        </w:rPr>
        <w:t xml:space="preserve">Почтовый адрес: 445028, г. Тольятти, ул. Фрунзе, д. 24;</w:t>
      </w:r>
    </w:p>
    <w:p>
      <w:pPr>
        <w:spacing w:after="0"/>
        <w:ind w:right="-513"/>
        <w:jc w:val="center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тел. (848-2) 388-915, 8 800 600 8915</w:t>
      </w:r>
    </w:p>
    <w:p>
      <w:pPr>
        <w:tabs>
          <w:tab w:val="center" w:pos="5430"/>
          <w:tab w:val="left" w:pos="10050"/>
        </w:tabs>
        <w:spacing w:after="0"/>
        <w:ind w:right="-513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ab/>
        <w:t xml:space="preserve">ОГРН 1156313047087, ИНН 6321391646, КПП 77</w:t>
      </w:r>
      <w:r>
        <w:rPr>
          <w:rFonts w:cs="Arial"/>
          <w:sz w:val="12"/>
          <w:szCs w:val="12"/>
        </w:rPr>
        <w:t xml:space="preserve">33</w:t>
      </w:r>
      <w:r>
        <w:rPr>
          <w:rFonts w:cs="Arial"/>
          <w:sz w:val="12"/>
          <w:szCs w:val="12"/>
        </w:rPr>
        <w:t xml:space="preserve">01001, р/с </w:t>
      </w:r>
      <w:bookmarkStart w:id="2" w:name="_Hlk179816615"/>
      <w:r>
        <w:rPr>
          <w:rFonts w:cs="Arial"/>
          <w:sz w:val="12"/>
          <w:szCs w:val="12"/>
        </w:rPr>
        <w:t xml:space="preserve">40701810004000000006</w:t>
      </w:r>
      <w:bookmarkEnd w:id="2"/>
      <w:r>
        <w:rPr>
          <w:rFonts w:cs="Arial"/>
          <w:sz w:val="12"/>
          <w:szCs w:val="12"/>
        </w:rPr>
        <w:tab/>
      </w:r>
    </w:p>
    <w:p>
      <w:pPr>
        <w:jc w:val="center"/>
      </w:pPr>
      <w:r>
        <w:rPr>
          <w:rFonts w:eastAsia="Times New Roman" w:cs="Arial"/>
          <w:sz w:val="12"/>
          <w:szCs w:val="12"/>
          <w:lang w:eastAsia="ru-RU"/>
        </w:rPr>
        <w:t xml:space="preserve">в Филиале АО АКБ «НОВИКОМБАНК» в г. </w:t>
      </w:r>
      <w:r>
        <w:rPr>
          <w:rFonts w:cs="Arial"/>
          <w:sz w:val="12"/>
          <w:szCs w:val="12"/>
        </w:rPr>
        <w:t xml:space="preserve">Тольятти к/с </w:t>
      </w:r>
      <w:r>
        <w:rPr>
          <w:rFonts w:cs="Arial"/>
          <w:sz w:val="12"/>
          <w:szCs w:val="12"/>
        </w:rPr>
        <w:t xml:space="preserve">30101810345373601944 в Отделении Самара, БИК 043601944</w:t>
      </w:r>
    </w:p>
    <w:sectPr>
      <w:headerReference w:type="default" r:id="rId9"/>
      <w:pgSz w:w="11906" w:h="16838"/>
      <w:pgMar w:top="142" w:right="566" w:bottom="284" w:left="993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E5EE752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 w:val="0"/>
        <w:i w:val="0"/>
        <w:caps w:val="0"/>
        <w:strike w:val="0"/>
        <w:vanish w:val="0"/>
        <w:sz w:val="20"/>
        <w:u w:val="none"/>
        <w:vertAlign w:val="baseline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multiLevelType w:val="hybridMultilevel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FFFFFFFF">
      <w:start w:val="1"/>
      <w:numFmt w:val="lowerLetter"/>
      <w:lvlText w:val="%2."/>
      <w:lvlJc w:val="left"/>
      <w:pPr>
        <w:ind w:left="1506" w:hanging="360"/>
      </w:pPr>
    </w:lvl>
    <w:lvl w:ilvl="2" w:tentative="1" w:tplc="FFFFFFFF">
      <w:start w:val="1"/>
      <w:numFmt w:val="lowerRoman"/>
      <w:lvlText w:val="%3."/>
      <w:lvlJc w:val="right"/>
      <w:pPr>
        <w:ind w:left="2226" w:hanging="180"/>
      </w:pPr>
    </w:lvl>
    <w:lvl w:ilvl="3" w:tentative="1" w:tplc="FFFFFFFF">
      <w:start w:val="1"/>
      <w:numFmt w:val="decimal"/>
      <w:lvlText w:val="%4."/>
      <w:lvlJc w:val="left"/>
      <w:pPr>
        <w:ind w:left="2946" w:hanging="360"/>
      </w:pPr>
    </w:lvl>
    <w:lvl w:ilvl="4" w:tentative="1" w:tplc="FFFFFFFF">
      <w:start w:val="1"/>
      <w:numFmt w:val="lowerLetter"/>
      <w:lvlText w:val="%5."/>
      <w:lvlJc w:val="left"/>
      <w:pPr>
        <w:ind w:left="3666" w:hanging="360"/>
      </w:pPr>
    </w:lvl>
    <w:lvl w:ilvl="5" w:tentative="1" w:tplc="FFFFFFFF">
      <w:start w:val="1"/>
      <w:numFmt w:val="lowerRoman"/>
      <w:lvlText w:val="%6."/>
      <w:lvlJc w:val="right"/>
      <w:pPr>
        <w:ind w:left="4386" w:hanging="180"/>
      </w:pPr>
    </w:lvl>
    <w:lvl w:ilvl="6" w:tentative="1" w:tplc="FFFFFFFF">
      <w:start w:val="1"/>
      <w:numFmt w:val="decimal"/>
      <w:lvlText w:val="%7."/>
      <w:lvlJc w:val="left"/>
      <w:pPr>
        <w:ind w:left="5106" w:hanging="360"/>
      </w:pPr>
    </w:lvl>
    <w:lvl w:ilvl="7" w:tentative="1" w:tplc="FFFFFFFF">
      <w:start w:val="1"/>
      <w:numFmt w:val="lowerLetter"/>
      <w:lvlText w:val="%8."/>
      <w:lvlJc w:val="left"/>
      <w:pPr>
        <w:ind w:left="5826" w:hanging="360"/>
      </w:pPr>
    </w:lvl>
    <w:lvl w:ilvl="8" w:tentative="1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pPr>
      <w:keepNext/>
      <w:pageBreakBefore/>
      <w:numPr>
        <w:numId w:val="2"/>
        <w:ilvl w:val="1"/>
      </w:numPr>
      <w:spacing w:after="0" w:line="240" w:lineRule="auto"/>
      <w:ind w:left="5670" w:firstLine="0"/>
      <w:jc w:val="right"/>
      <w:outlineLvl w:val="1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pPr>
      <w:keepNext/>
      <w:numPr>
        <w:numId w:val="2"/>
        <w:ilvl w:val="2"/>
      </w:numPr>
      <w:spacing w:after="0" w:line="240" w:lineRule="auto"/>
      <w:ind w:left="10206" w:firstLine="0"/>
      <w:jc w:val="right"/>
      <w:outlineLvl w:val="2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pPr>
      <w:keepNext/>
      <w:numPr>
        <w:numId w:val="2"/>
        <w:ilvl w:val="3"/>
      </w:numPr>
      <w:spacing w:before="600" w:after="120" w:line="240" w:lineRule="auto"/>
      <w:jc w:val="center"/>
      <w:outlineLvl w:val="3"/>
    </w:pPr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pPr>
      <w:keepNext/>
      <w:pageBreakBefore/>
      <w:numPr>
        <w:numId w:val="2"/>
        <w:ilvl w:val="4"/>
      </w:numPr>
      <w:spacing w:after="0" w:line="240" w:lineRule="auto"/>
      <w:ind w:left="0" w:firstLine="567"/>
      <w:jc w:val="right"/>
      <w:outlineLvl w:val="4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pPr>
      <w:keepNext/>
      <w:numPr>
        <w:numId w:val="2"/>
        <w:ilvl w:val="5"/>
      </w:numPr>
      <w:spacing w:after="0" w:line="240" w:lineRule="auto"/>
      <w:outlineLvl w:val="5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pPr>
      <w:keepNext/>
      <w:numPr>
        <w:numId w:val="2"/>
        <w:ilvl w:val="6"/>
      </w:numPr>
      <w:spacing w:after="0" w:line="240" w:lineRule="auto"/>
      <w:jc w:val="center"/>
      <w:outlineLvl w:val="6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pPr>
      <w:keepNext/>
      <w:numPr>
        <w:numId w:val="2"/>
        <w:ilvl w:val="7"/>
      </w:numPr>
      <w:spacing w:after="0" w:line="240" w:lineRule="auto"/>
      <w:jc w:val="center"/>
      <w:outlineLvl w:val="7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pPr>
      <w:keepNext/>
      <w:numPr>
        <w:numId w:val="2"/>
        <w:ilvl w:val="8"/>
      </w:numPr>
      <w:spacing w:after="0" w:line="240" w:lineRule="auto"/>
      <w:ind w:left="0" w:firstLine="567"/>
      <w:jc w:val="both"/>
      <w:outlineLvl w:val="8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</w:style>
  <w:style w:type="paragraph" w:styleId="a8">
    <w:name w:val="No Spacing"/>
    <w:link w:val="a9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aa">
    <w:name w:val="annotation reference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pPr>
      <w:spacing w:after="0" w:line="240" w:lineRule="auto"/>
    </w:pPr>
    <w:rPr>
      <w:rFonts w:ascii="Times New Roman" w:hAnsi="Times New Roman" w:eastAsia="Times New Roman" w:cs="Times New Roman"/>
      <w:szCs w:val="20"/>
      <w:lang w:eastAsia="zh-CN"/>
    </w:rPr>
  </w:style>
  <w:style w:type="character" w:styleId="ac" w:customStyle="1">
    <w:name w:val="Текст примечания Знак"/>
    <w:basedOn w:val="a0"/>
    <w:link w:val="ab"/>
    <w:uiPriority w:val="99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Default" w:customStyle="1">
    <w:name w:val="Default"/>
    <w:pPr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widowControl w:val="off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pPr>
      <w:spacing w:after="0" w:line="240" w:lineRule="auto"/>
    </w:pPr>
    <w:rPr>
      <w:rFonts w:ascii="Times New Roman" w:hAnsi="Times New Roman" w:eastAsia="Times New Roman" w:cs="Times New Roman"/>
      <w:szCs w:val="20"/>
      <w:lang w:eastAsia="zh-CN"/>
    </w:rPr>
  </w:style>
  <w:style w:type="character" w:styleId="af" w:customStyle="1">
    <w:name w:val="Текст сноски Знак"/>
    <w:basedOn w:val="a0"/>
    <w:link w:val="ae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pPr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character" w:styleId="af2" w:customStyle="1">
    <w:name w:val="Тема примечания Знак"/>
    <w:basedOn w:val="ac"/>
    <w:link w:val="af1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10" w:customStyle="1">
    <w:name w:val="Заголовок 1 Знак"/>
    <w:basedOn w:val="a0"/>
    <w:link w:val="1"/>
    <w:rPr>
      <w:rFonts w:ascii="Arial" w:hAnsi="Arial" w:eastAsia="Times New Roman" w:cs="Times New Roman"/>
      <w:sz w:val="20"/>
      <w:szCs w:val="20"/>
      <w:lang w:eastAsia="zh-CN"/>
    </w:rPr>
  </w:style>
  <w:style w:type="character" w:styleId="20" w:customStyle="1">
    <w:name w:val="Заголовок 2 Знак"/>
    <w:basedOn w:val="a0"/>
    <w:link w:val="2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30" w:customStyle="1">
    <w:name w:val="Заголовок 3 Знак"/>
    <w:basedOn w:val="a0"/>
    <w:link w:val="3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40" w:customStyle="1">
    <w:name w:val="Заголовок 4 Знак"/>
    <w:basedOn w:val="a0"/>
    <w:link w:val="4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50" w:customStyle="1">
    <w:name w:val="Заголовок 5 Знак"/>
    <w:basedOn w:val="a0"/>
    <w:link w:val="5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60" w:customStyle="1">
    <w:name w:val="Заголовок 6 Знак"/>
    <w:basedOn w:val="a0"/>
    <w:link w:val="6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70" w:customStyle="1">
    <w:name w:val="Заголовок 7 Знак"/>
    <w:basedOn w:val="a0"/>
    <w:link w:val="7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80" w:customStyle="1">
    <w:name w:val="Заголовок 8 Знак"/>
    <w:basedOn w:val="a0"/>
    <w:link w:val="8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90" w:customStyle="1">
    <w:name w:val="Заголовок 9 Знак"/>
    <w:basedOn w:val="a0"/>
    <w:link w:val="9"/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pPr>
      <w:spacing w:after="0" w:line="240" w:lineRule="auto"/>
      <w:contextualSpacing/>
      <w:jc w:val="right"/>
    </w:pPr>
    <w:rPr>
      <w:rFonts w:eastAsiaTheme="majorEastAsia" w:cstheme="majorBidi"/>
      <w:spacing w:val="-10"/>
      <w:szCs w:val="56"/>
    </w:rPr>
  </w:style>
  <w:style w:type="character" w:styleId="af4" w:customStyle="1">
    <w:name w:val="Заголовок Знак"/>
    <w:basedOn w:val="a0"/>
    <w:link w:val="af3"/>
    <w:uiPriority w:val="10"/>
    <w:rPr>
      <w:rFonts w:ascii="Arial" w:hAnsi="Arial" w:eastAsiaTheme="majorEastAsia" w:cstheme="majorBidi"/>
      <w:spacing w:val="-10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7" w:customStyle="1">
    <w:name w:val="Заголовок формы"/>
    <w:basedOn w:val="a8"/>
    <w:link w:val="af8"/>
    <w:qFormat/>
    <w:pPr>
      <w:jc w:val="center"/>
    </w:pPr>
    <w:rPr>
      <w:rFonts w:ascii="Arial" w:hAnsi="Arial" w:cs="Arial"/>
      <w:sz w:val="20"/>
      <w:szCs w:val="20"/>
    </w:rPr>
  </w:style>
  <w:style w:type="character" w:styleId="a9" w:customStyle="1">
    <w:name w:val="Без интервала Знак"/>
    <w:basedOn w:val="a0"/>
    <w:link w:val="a8"/>
    <w:uiPriority w:val="1"/>
    <w:rPr>
      <w:rFonts w:ascii="Calibri" w:hAnsi="Calibri" w:eastAsia="Calibri" w:cs="Times New Roman"/>
    </w:rPr>
  </w:style>
  <w:style w:type="character" w:styleId="af8" w:customStyle="1">
    <w:name w:val="Заголовок формы Знак"/>
    <w:basedOn w:val="a9"/>
    <w:link w:val="af7"/>
    <w:rPr>
      <w:rFonts w:ascii="Arial" w:hAnsi="Arial" w:eastAsia="Calibri" w:cs="Arial"/>
      <w:sz w:val="20"/>
      <w:szCs w:val="20"/>
    </w:rPr>
  </w:style>
  <w:style w:type="paragraph" w:styleId="af9">
    <w:name w:val="Revision"/>
    <w:hidden/>
    <w:uiPriority w:val="99"/>
    <w:semiHidden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b" w:customStyle="1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rostecnpf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E368C-7FF5-40AF-BA8E-18BA3B3C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4454</Characters>
  <CharactersWithSpaces>5225</CharactersWithSpaces>
  <Company/>
  <DocSecurity>0</DocSecurity>
  <HyperlinksChanged>false</HyperlinksChanged>
  <Lines>37</Lines>
  <LinksUpToDate>false</LinksUpToDate>
  <Pages>1</Pages>
  <Paragraphs>10</Paragraphs>
  <ScaleCrop>false</ScaleCrop>
  <SharedDoc>false</SharedDoc>
  <Template>Normal</Template>
  <TotalTime>3</TotalTime>
  <Words>781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Евстигнеева Наталья Сергеевна</dc:creator>
  <cp:keywords/>
  <dc:description/>
  <cp:lastModifiedBy>Гамова Ольга Сергеевна</cp:lastModifiedBy>
  <cp:revision>13</cp:revision>
  <cp:lastPrinted>2026-02-18T14:08:00Z</cp:lastPrinted>
  <dcterms:created xsi:type="dcterms:W3CDTF">2025-02-18T14:24:00Z</dcterms:created>
  <dcterms:modified xsi:type="dcterms:W3CDTF">2026-02-19T05:42:00Z</dcterms:modified>
</cp:coreProperties>
</file>